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2118437</w:t>
      </w:r>
      <w:bookmarkStart w:id="2" w:name="_GoBack"/>
      <w:bookmarkEnd w:id="2"/>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szCs w:val="24"/>
          <w:lang w:eastAsia="zh-CN"/>
        </w:rPr>
        <w:t>Electronic Meeting, November 01-12,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hint="default" w:ascii="Arial" w:hAnsi="Arial" w:eastAsia="MS Mincho"/>
          <w:b/>
          <w:sz w:val="24"/>
          <w:lang w:val="en-US"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Discussion on timing issues for simultaneous operation of IAB</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8.17.2.2</w:t>
      </w:r>
    </w:p>
    <w:p>
      <w:pPr>
        <w:pStyle w:val="14"/>
        <w:tabs>
          <w:tab w:val="left" w:pos="1800"/>
        </w:tabs>
        <w:snapToGrid w:val="0"/>
        <w:spacing w:after="240"/>
        <w:jc w:val="both"/>
        <w:rPr>
          <w:rFonts w:hint="default" w:eastAsia="宋体"/>
          <w:sz w:val="24"/>
          <w:lang w:val="en-US" w:eastAsia="zh-CN"/>
        </w:rPr>
      </w:pPr>
      <w:r>
        <w:rPr>
          <w:sz w:val="24"/>
        </w:rPr>
        <w:t>Document for:</w:t>
      </w:r>
      <w:r>
        <w:rPr>
          <w:sz w:val="24"/>
        </w:rPr>
        <w:tab/>
      </w:r>
      <w:r>
        <w:rPr>
          <w:rFonts w:hint="eastAsia"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hint="default" w:eastAsia="宋体"/>
          <w:szCs w:val="20"/>
          <w:lang w:val="en-US" w:eastAsia="zh-CN"/>
        </w:rPr>
      </w:pPr>
      <w:r>
        <w:rPr>
          <w:rFonts w:hint="eastAsia" w:eastAsia="宋体"/>
          <w:szCs w:val="20"/>
          <w:lang w:val="en-US" w:eastAsia="zh-CN"/>
        </w:rPr>
        <w:t>In this contribution, the analysis on the issue of timing for simultaneous operation between child link and parent link is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29"/>
        <w:ind w:firstLine="0" w:firstLineChars="0"/>
        <w:rPr>
          <w:rFonts w:hint="eastAsia" w:ascii="Times New Roman" w:hAnsi="Times New Roman"/>
          <w:bCs/>
          <w:kern w:val="0"/>
          <w:sz w:val="20"/>
          <w:szCs w:val="20"/>
        </w:rPr>
      </w:pPr>
      <w:r>
        <w:rPr>
          <w:rFonts w:hint="eastAsia" w:ascii="Times New Roman" w:hAnsi="Times New Roman"/>
          <w:bCs/>
          <w:kern w:val="0"/>
          <w:sz w:val="20"/>
          <w:szCs w:val="20"/>
        </w:rPr>
        <w:t>In RAN4 #</w:t>
      </w:r>
      <w:r>
        <w:rPr>
          <w:rFonts w:hint="eastAsia" w:ascii="Times New Roman" w:hAnsi="Times New Roman"/>
          <w:bCs/>
          <w:kern w:val="0"/>
          <w:sz w:val="20"/>
          <w:szCs w:val="20"/>
          <w:lang w:val="en-US" w:eastAsia="zh-CN"/>
        </w:rPr>
        <w:t>100</w:t>
      </w:r>
      <w:r>
        <w:rPr>
          <w:rFonts w:hint="eastAsia" w:ascii="Times New Roman" w:hAnsi="Times New Roman"/>
          <w:bCs/>
          <w:kern w:val="0"/>
          <w:sz w:val="20"/>
          <w:szCs w:val="20"/>
        </w:rPr>
        <w:t>-e meeting, issue</w:t>
      </w:r>
      <w:r>
        <w:rPr>
          <w:rFonts w:hint="eastAsia" w:ascii="Times New Roman" w:hAnsi="Times New Roman"/>
          <w:bCs/>
          <w:kern w:val="0"/>
          <w:sz w:val="20"/>
          <w:szCs w:val="20"/>
          <w:lang w:val="en-US" w:eastAsia="zh-CN"/>
        </w:rPr>
        <w:t>s</w:t>
      </w:r>
      <w:r>
        <w:rPr>
          <w:rFonts w:hint="eastAsia" w:ascii="Times New Roman" w:hAnsi="Times New Roman"/>
          <w:bCs/>
          <w:kern w:val="0"/>
          <w:sz w:val="20"/>
          <w:szCs w:val="20"/>
        </w:rPr>
        <w:t xml:space="preserve"> of </w:t>
      </w:r>
      <w:r>
        <w:rPr>
          <w:rFonts w:hint="eastAsia" w:ascii="Times New Roman" w:hAnsi="Times New Roman"/>
          <w:bCs/>
          <w:kern w:val="0"/>
          <w:sz w:val="20"/>
          <w:szCs w:val="20"/>
          <w:lang w:val="en-US" w:eastAsia="zh-CN"/>
        </w:rPr>
        <w:t>timing</w:t>
      </w:r>
      <w:r>
        <w:rPr>
          <w:rFonts w:hint="eastAsia" w:ascii="Times New Roman" w:hAnsi="Times New Roman"/>
          <w:bCs/>
          <w:kern w:val="0"/>
          <w:sz w:val="20"/>
          <w:szCs w:val="20"/>
        </w:rPr>
        <w:t xml:space="preserve"> </w:t>
      </w:r>
      <w:r>
        <w:rPr>
          <w:rFonts w:hint="eastAsia" w:ascii="Times New Roman" w:hAnsi="Times New Roman"/>
          <w:bCs/>
          <w:kern w:val="0"/>
          <w:sz w:val="20"/>
          <w:szCs w:val="20"/>
          <w:lang w:val="en-US" w:eastAsia="zh-CN"/>
        </w:rPr>
        <w:t xml:space="preserve">for simultaneous operation </w:t>
      </w:r>
      <w:r>
        <w:rPr>
          <w:rFonts w:hint="eastAsia" w:ascii="Times New Roman" w:hAnsi="Times New Roman"/>
          <w:bCs/>
          <w:kern w:val="0"/>
          <w:sz w:val="20"/>
          <w:szCs w:val="20"/>
        </w:rPr>
        <w:t>w</w:t>
      </w:r>
      <w:r>
        <w:rPr>
          <w:rFonts w:hint="eastAsia" w:ascii="Times New Roman" w:hAnsi="Times New Roman"/>
          <w:bCs/>
          <w:kern w:val="0"/>
          <w:sz w:val="20"/>
          <w:szCs w:val="20"/>
          <w:lang w:val="en-US" w:eastAsia="zh-CN"/>
        </w:rPr>
        <w:t>ere</w:t>
      </w:r>
      <w:r>
        <w:rPr>
          <w:rFonts w:hint="eastAsia" w:ascii="Times New Roman" w:hAnsi="Times New Roman"/>
          <w:bCs/>
          <w:kern w:val="0"/>
          <w:sz w:val="20"/>
          <w:szCs w:val="20"/>
        </w:rPr>
        <w:t xml:space="preserve"> identified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Way forward:</w:t>
            </w:r>
          </w:p>
          <w:p>
            <w:pPr>
              <w:keepNext w:val="0"/>
              <w:keepLines w:val="0"/>
              <w:pageBreakBefore w:val="0"/>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eastAsia="Malgun Gothic" w:cs="Times New Roman"/>
                <w:sz w:val="20"/>
                <w:szCs w:val="20"/>
                <w:u w:val="single"/>
                <w:lang w:eastAsia="ko-KR"/>
              </w:rPr>
            </w:pPr>
            <w:r>
              <w:rPr>
                <w:rFonts w:hint="default" w:ascii="Times New Roman" w:hAnsi="Times New Roman" w:cs="Times New Roman"/>
                <w:sz w:val="20"/>
                <w:szCs w:val="20"/>
                <w:u w:val="single"/>
                <w:lang w:eastAsia="ko-KR"/>
              </w:rPr>
              <w:t>Timing error between IAB-DU and IAB-MT transmission within one node for timing case#6:</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Timing error between IAB-DU and IAB-MT simultaneous transmission is to be considered as new dedicated RAN4 requirement to be decided to capture it in which section in TS38.174.</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eastAsia="宋体" w:cs="Times New Roman"/>
                <w:color w:val="000000" w:themeColor="text1"/>
                <w:sz w:val="20"/>
                <w:szCs w:val="20"/>
              </w:rPr>
            </w:pPr>
            <w:r>
              <w:rPr>
                <w:rFonts w:hint="default" w:ascii="Times New Roman" w:hAnsi="Times New Roman" w:eastAsia="宋体" w:cs="Times New Roman"/>
                <w:color w:val="000000" w:themeColor="text1"/>
                <w:sz w:val="20"/>
                <w:szCs w:val="20"/>
              </w:rPr>
              <w:t>Study on associated test configuration and test model in performance part if the core requirement is agreed.</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color w:val="000000" w:themeColor="text1"/>
                <w:sz w:val="20"/>
                <w:szCs w:val="20"/>
              </w:rPr>
            </w:pPr>
            <w:r>
              <w:rPr>
                <w:rFonts w:hint="default" w:ascii="Times New Roman" w:hAnsi="Times New Roman" w:eastAsia="宋体" w:cs="Times New Roman"/>
                <w:color w:val="000000" w:themeColor="text1"/>
                <w:sz w:val="20"/>
                <w:szCs w:val="20"/>
              </w:rPr>
              <w:t>Take 3us as starting point for maximum Timing error between IAB-DU and IAB-MT simultaneous transmission</w:t>
            </w:r>
          </w:p>
          <w:p>
            <w:pPr>
              <w:pStyle w:val="29"/>
              <w:keepNext w:val="0"/>
              <w:keepLines w:val="0"/>
              <w:pageBreakBefore w:val="0"/>
              <w:numPr>
                <w:ilvl w:val="1"/>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color w:val="000000" w:themeColor="text1"/>
                <w:sz w:val="20"/>
                <w:szCs w:val="20"/>
              </w:rPr>
            </w:pPr>
            <w:r>
              <w:rPr>
                <w:rFonts w:hint="default" w:ascii="Times New Roman" w:hAnsi="Times New Roman" w:eastAsia="宋体" w:cs="Times New Roman"/>
                <w:color w:val="000000" w:themeColor="text1"/>
                <w:sz w:val="20"/>
                <w:szCs w:val="20"/>
              </w:rPr>
              <w:t>To review this value if improvement needed dependent on RAN1 agreement</w:t>
            </w:r>
          </w:p>
          <w:p>
            <w:pPr>
              <w:keepNext w:val="0"/>
              <w:keepLines w:val="0"/>
              <w:pageBreakBefore w:val="0"/>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sz w:val="20"/>
                <w:szCs w:val="20"/>
                <w:u w:val="single"/>
                <w:lang w:eastAsia="ko-KR"/>
              </w:rPr>
            </w:pPr>
            <w:r>
              <w:rPr>
                <w:rFonts w:hint="default" w:ascii="Times New Roman" w:hAnsi="Times New Roman" w:cs="Times New Roman"/>
                <w:sz w:val="20"/>
                <w:szCs w:val="20"/>
                <w:u w:val="single"/>
                <w:lang w:eastAsia="ko-KR"/>
              </w:rPr>
              <w:t>Timing error between parent IAB-DU and child node IAB-DU transmission:</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color w:val="000000" w:themeColor="text1"/>
                <w:sz w:val="20"/>
                <w:szCs w:val="20"/>
                <w:lang w:val="en-US"/>
              </w:rPr>
            </w:pPr>
            <w:r>
              <w:rPr>
                <w:rFonts w:hint="default" w:ascii="Times New Roman" w:hAnsi="Times New Roman" w:eastAsia="宋体" w:cs="Times New Roman"/>
                <w:color w:val="000000" w:themeColor="text1"/>
                <w:sz w:val="20"/>
                <w:szCs w:val="20"/>
              </w:rPr>
              <w:t>It is acknowledged that for shared hardware architecture, the parent IAB node can tolerate the certain value of timing error uncertainty between its child IAB node and its own DL timing</w:t>
            </w:r>
          </w:p>
          <w:p>
            <w:pPr>
              <w:pStyle w:val="29"/>
              <w:keepNext w:val="0"/>
              <w:keepLines w:val="0"/>
              <w:pageBreakBefore w:val="0"/>
              <w:numPr>
                <w:ilvl w:val="1"/>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color w:val="000000" w:themeColor="text1"/>
                <w:sz w:val="20"/>
                <w:szCs w:val="20"/>
                <w:lang w:val="en-US"/>
              </w:rPr>
            </w:pPr>
            <w:r>
              <w:rPr>
                <w:rFonts w:hint="default" w:ascii="Times New Roman" w:hAnsi="Times New Roman" w:cs="Times New Roman"/>
                <w:color w:val="000000" w:themeColor="text1"/>
                <w:sz w:val="20"/>
                <w:szCs w:val="20"/>
                <w:lang w:val="en-US"/>
              </w:rPr>
              <w:t xml:space="preserve">FFS on the value of time error tolerance on parent IAB node </w:t>
            </w:r>
          </w:p>
          <w:p>
            <w:pPr>
              <w:pStyle w:val="29"/>
              <w:keepNext w:val="0"/>
              <w:keepLines w:val="0"/>
              <w:pageBreakBefore w:val="0"/>
              <w:numPr>
                <w:ilvl w:val="1"/>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color w:val="000000" w:themeColor="text1"/>
                <w:sz w:val="20"/>
                <w:szCs w:val="20"/>
                <w:lang w:val="en-US"/>
              </w:rPr>
            </w:pPr>
            <w:r>
              <w:rPr>
                <w:rFonts w:hint="default" w:ascii="Times New Roman" w:hAnsi="Times New Roman" w:cs="Times New Roman" w:eastAsiaTheme="minorEastAsia"/>
                <w:color w:val="000000" w:themeColor="text1"/>
                <w:sz w:val="20"/>
                <w:szCs w:val="20"/>
                <w:lang w:val="en-US" w:eastAsia="zh-CN"/>
              </w:rPr>
              <w:t>To investigate if this has already been covered in Rel-16 cell phase synch requirement and can be ensured in legacy release.</w:t>
            </w:r>
          </w:p>
          <w:p>
            <w:pPr>
              <w:pStyle w:val="29"/>
              <w:keepNext w:val="0"/>
              <w:keepLines w:val="0"/>
              <w:pageBreakBefore w:val="0"/>
              <w:numPr>
                <w:ilvl w:val="1"/>
                <w:numId w:val="4"/>
              </w:numPr>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color w:val="000000" w:themeColor="text1"/>
                <w:sz w:val="20"/>
                <w:szCs w:val="20"/>
                <w:lang w:val="en-US"/>
              </w:rPr>
            </w:pPr>
            <w:r>
              <w:rPr>
                <w:rFonts w:hint="default" w:ascii="Times New Roman" w:hAnsi="Times New Roman" w:cs="Times New Roman" w:eastAsiaTheme="minorEastAsia"/>
                <w:color w:val="000000" w:themeColor="text1"/>
                <w:sz w:val="20"/>
                <w:szCs w:val="20"/>
                <w:lang w:val="en-US" w:eastAsia="zh-CN"/>
              </w:rPr>
              <w:t xml:space="preserve">No RAN4 RF requirement impact is expected due to this currently.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rPr>
            </w:pPr>
            <w:r>
              <w:rPr>
                <w:rFonts w:hint="default" w:ascii="Times New Roman" w:hAnsi="Times New Roman" w:cs="Times New Roman" w:eastAsiaTheme="minorEastAsia"/>
                <w:color w:val="000000" w:themeColor="text1"/>
                <w:sz w:val="20"/>
                <w:szCs w:val="20"/>
                <w:lang w:val="en-US" w:eastAsia="zh-CN"/>
              </w:rPr>
              <w:t>This can be reviewed if update needed due to further agreement in RAN1</w:t>
            </w:r>
          </w:p>
        </w:tc>
      </w:tr>
    </w:tbl>
    <w:p>
      <w:pPr>
        <w:pStyle w:val="29"/>
        <w:keepNext w:val="0"/>
        <w:keepLines w:val="0"/>
        <w:pageBreakBefore w:val="0"/>
        <w:widowControl w:val="0"/>
        <w:suppressAutoHyphens/>
        <w:kinsoku/>
        <w:wordWrap/>
        <w:overflowPunct/>
        <w:topLinePunct w:val="0"/>
        <w:autoSpaceDE/>
        <w:autoSpaceDN/>
        <w:bidi w:val="0"/>
        <w:adjustRightInd w:val="0"/>
        <w:snapToGrid w:val="0"/>
        <w:spacing w:before="313" w:beforeLines="100" w:after="0" w:line="240" w:lineRule="auto"/>
        <w:ind w:firstLine="0" w:firstLineChars="0"/>
        <w:textAlignment w:val="auto"/>
        <w:rPr>
          <w:rFonts w:hint="default" w:ascii="Times New Roman" w:hAnsi="Times New Roman"/>
          <w:bCs/>
          <w:kern w:val="0"/>
          <w:sz w:val="20"/>
          <w:szCs w:val="20"/>
          <w:lang w:val="en-US"/>
        </w:rPr>
      </w:pPr>
      <w:r>
        <w:rPr>
          <w:rFonts w:hint="eastAsia" w:ascii="Times New Roman" w:hAnsi="Times New Roman"/>
          <w:bCs/>
          <w:kern w:val="0"/>
          <w:sz w:val="20"/>
          <w:szCs w:val="20"/>
          <w:lang w:val="en-US" w:eastAsia="zh-CN"/>
        </w:rPr>
        <w:t>There are 2 Te to be discussed. For the convenience of discussion, here we define the Te between MT UL Tx timing and DU DL Tx timing as Te1 and Te between parent DU Tx timing and child DU Tx timing as Te2. The Te1 and Te2 will put impact on parent DU UL Rx. As an agreement for Case 6 timing was reached in RAN1# 106-e meeting as below</w:t>
      </w:r>
      <w:r>
        <w:rPr>
          <w:rFonts w:hint="eastAsia" w:ascii="Times New Roman" w:hAnsi="Times New Roman"/>
          <w:bCs/>
          <w:kern w:val="0"/>
          <w:sz w:val="20"/>
          <w:szCs w:val="20"/>
          <w:vertAlign w:val="superscript"/>
          <w:lang w:val="en-US" w:eastAsia="zh-CN"/>
        </w:rPr>
        <w:t>[2]</w:t>
      </w:r>
      <w:r>
        <w:rPr>
          <w:rFonts w:hint="eastAsia" w:ascii="Times New Roman" w:hAnsi="Times New Roman"/>
          <w:bCs/>
          <w:kern w:val="0"/>
          <w:sz w:val="20"/>
          <w:szCs w:val="20"/>
          <w:lang w:val="en-US" w:eastAsia="zh-CN"/>
        </w:rPr>
        <w:t>.</w:t>
      </w:r>
    </w:p>
    <w:p>
      <w:pPr>
        <w:pStyle w:val="29"/>
        <w:keepNext w:val="0"/>
        <w:keepLines w:val="0"/>
        <w:pageBreakBefore w:val="0"/>
        <w:widowControl w:val="0"/>
        <w:suppressAutoHyphens/>
        <w:kinsoku/>
        <w:wordWrap/>
        <w:overflowPunct/>
        <w:topLinePunct w:val="0"/>
        <w:autoSpaceDE/>
        <w:autoSpaceDN/>
        <w:bidi w:val="0"/>
        <w:adjustRightInd w:val="0"/>
        <w:snapToGrid w:val="0"/>
        <w:spacing w:after="0" w:line="240" w:lineRule="auto"/>
        <w:ind w:firstLine="0" w:firstLineChars="0"/>
        <w:textAlignment w:val="auto"/>
        <w:rPr>
          <w:rFonts w:hint="eastAsia" w:ascii="Times New Roman" w:hAnsi="Times New Roman"/>
          <w:bCs/>
          <w:kern w:val="0"/>
          <w:szCs w:val="21"/>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val="0"/>
              <w:snapToGrid w:val="0"/>
              <w:spacing w:after="0" w:line="240" w:lineRule="auto"/>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pPr>
              <w:keepNext w:val="0"/>
              <w:keepLines w:val="0"/>
              <w:pageBreakBefore w:val="0"/>
              <w:kinsoku/>
              <w:wordWrap/>
              <w:overflowPunct/>
              <w:topLinePunct w:val="0"/>
              <w:autoSpaceDE/>
              <w:autoSpaceDN/>
              <w:bidi w:val="0"/>
              <w:adjustRightInd w:val="0"/>
              <w:snapToGrid w:val="0"/>
              <w:spacing w:after="0" w:line="240" w:lineRule="auto"/>
              <w:rPr>
                <w:rFonts w:hint="default" w:ascii="Times New Roman" w:hAnsi="Times New Roman" w:cs="Times New Roman"/>
                <w:sz w:val="20"/>
                <w:szCs w:val="20"/>
              </w:rPr>
            </w:pPr>
            <w:r>
              <w:rPr>
                <w:rFonts w:hint="default" w:ascii="Times New Roman" w:hAnsi="Times New Roman" w:cs="Times New Roman"/>
                <w:sz w:val="20"/>
                <w:szCs w:val="20"/>
              </w:rPr>
              <w:t>For Case 6 timing at a given IAB-node, the IAB-MT Tx timing is set by the node to the timing obtained for the node’s DL Tx.</w:t>
            </w:r>
          </w:p>
          <w:p>
            <w:pPr>
              <w:pStyle w:val="29"/>
              <w:keepNext w:val="0"/>
              <w:keepLines w:val="0"/>
              <w:pageBreakBefore w:val="0"/>
              <w:numPr>
                <w:ilvl w:val="0"/>
                <w:numId w:val="5"/>
              </w:numPr>
              <w:kinsoku/>
              <w:wordWrap/>
              <w:overflowPunct/>
              <w:topLinePunct w:val="0"/>
              <w:autoSpaceDE/>
              <w:autoSpaceDN/>
              <w:bidi w:val="0"/>
              <w:adjustRightInd w:val="0"/>
              <w:snapToGrid w:val="0"/>
              <w:spacing w:after="0" w:line="240" w:lineRule="auto"/>
              <w:ind w:leftChars="0"/>
              <w:contextualSpacing/>
              <w:textAlignment w:val="baseline"/>
              <w:rPr>
                <w:rFonts w:hint="eastAsia" w:ascii="Times New Roman" w:hAnsi="Times New Roman"/>
                <w:bCs/>
                <w:kern w:val="0"/>
                <w:szCs w:val="21"/>
                <w:vertAlign w:val="baseline"/>
              </w:rPr>
            </w:pPr>
            <w:r>
              <w:rPr>
                <w:rFonts w:hint="default" w:ascii="Times New Roman" w:hAnsi="Times New Roman" w:cs="Times New Roman"/>
                <w:sz w:val="20"/>
                <w:szCs w:val="20"/>
              </w:rPr>
              <w:t>FFS: Need for additional details with reference to support of OTA synchronization (e.g. T_delta)</w:t>
            </w:r>
          </w:p>
        </w:tc>
      </w:tr>
    </w:tbl>
    <w:p>
      <w:pPr>
        <w:pStyle w:val="29"/>
        <w:keepNext w:val="0"/>
        <w:keepLines w:val="0"/>
        <w:pageBreakBefore w:val="0"/>
        <w:widowControl w:val="0"/>
        <w:suppressAutoHyphens/>
        <w:kinsoku/>
        <w:wordWrap/>
        <w:overflowPunct/>
        <w:topLinePunct w:val="0"/>
        <w:autoSpaceDE/>
        <w:autoSpaceDN/>
        <w:bidi w:val="0"/>
        <w:adjustRightInd w:val="0"/>
        <w:snapToGrid w:val="0"/>
        <w:spacing w:before="157" w:beforeLines="50" w:after="0" w:line="24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When IAB operates case 6 timing, the impact on Rx timing of its parent node should be considered as parent node will assume the MT UL Tx timing of its child IAB node is aligned with the collocated DU DL Tx timing thus the parent node will lose the UL timing control based one the understanding of the agreement.</w:t>
      </w:r>
    </w:p>
    <w:p>
      <w:pPr>
        <w:pStyle w:val="29"/>
        <w:keepNext w:val="0"/>
        <w:keepLines w:val="0"/>
        <w:pageBreakBefore w:val="0"/>
        <w:widowControl w:val="0"/>
        <w:suppressAutoHyphens/>
        <w:kinsoku/>
        <w:wordWrap/>
        <w:overflowPunct/>
        <w:topLinePunct w:val="0"/>
        <w:autoSpaceDE/>
        <w:autoSpaceDN/>
        <w:bidi w:val="0"/>
        <w:adjustRightInd w:val="0"/>
        <w:snapToGrid w:val="0"/>
        <w:spacing w:before="157" w:beforeLines="50" w:after="0" w:line="24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cs="Times New Roman"/>
          <w:b/>
          <w:sz w:val="20"/>
          <w:szCs w:val="20"/>
          <w:lang w:val="en-US" w:eastAsia="zh-CN"/>
        </w:rPr>
        <w:t>Observation</w:t>
      </w:r>
      <w:r>
        <w:rPr>
          <w:rFonts w:hint="default" w:ascii="Times New Roman" w:hAnsi="Times New Roman" w:cs="Times New Roman"/>
          <w:b/>
          <w:sz w:val="20"/>
          <w:szCs w:val="20"/>
          <w:lang w:eastAsia="zh-CN"/>
        </w:rPr>
        <w:t xml:space="preserve"> 1</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Parent node will not control UL Tx timing of its child node when the child node operates in Case 6 timing</w:t>
      </w:r>
      <w:r>
        <w:rPr>
          <w:rFonts w:hint="default" w:ascii="Times New Roman" w:hAnsi="Times New Roman" w:cs="Times New Roman"/>
          <w:b/>
          <w:sz w:val="20"/>
          <w:szCs w:val="20"/>
          <w:lang w:eastAsia="zh-CN"/>
        </w:rPr>
        <w:t>.</w:t>
      </w:r>
    </w:p>
    <w:p>
      <w:pPr>
        <w:pStyle w:val="29"/>
        <w:keepNext w:val="0"/>
        <w:keepLines w:val="0"/>
        <w:pageBreakBefore w:val="0"/>
        <w:widowControl w:val="0"/>
        <w:suppressAutoHyphens/>
        <w:kinsoku/>
        <w:wordWrap/>
        <w:overflowPunct/>
        <w:topLinePunct w:val="0"/>
        <w:autoSpaceDE/>
        <w:autoSpaceDN/>
        <w:bidi w:val="0"/>
        <w:adjustRightInd w:val="0"/>
        <w:snapToGrid w:val="0"/>
        <w:spacing w:before="157" w:beforeLines="50" w:after="0" w:line="24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 xml:space="preserve">If 3us timing error is </w:t>
      </w:r>
      <w:r>
        <w:rPr>
          <w:rFonts w:hint="eastAsia" w:ascii="Times New Roman" w:hAnsi="Times New Roman" w:cs="Times New Roman"/>
          <w:bCs/>
          <w:kern w:val="0"/>
          <w:sz w:val="20"/>
          <w:szCs w:val="20"/>
          <w:lang w:val="en-US" w:eastAsia="zh-CN"/>
        </w:rPr>
        <w:t>determined</w:t>
      </w:r>
      <w:r>
        <w:rPr>
          <w:rFonts w:hint="default" w:ascii="Times New Roman" w:hAnsi="Times New Roman" w:cs="Times New Roman"/>
          <w:bCs/>
          <w:kern w:val="0"/>
          <w:sz w:val="20"/>
          <w:szCs w:val="20"/>
          <w:lang w:val="en-US" w:eastAsia="zh-CN"/>
        </w:rPr>
        <w:t xml:space="preserve"> for Te1, parent will not get the precise Rx timing even if Te2 are perfectly timing aligned.</w:t>
      </w:r>
      <w:r>
        <w:rPr>
          <w:rFonts w:hint="eastAsia" w:ascii="Times New Roman" w:hAnsi="Times New Roman" w:cs="Times New Roman"/>
          <w:bCs/>
          <w:kern w:val="0"/>
          <w:sz w:val="20"/>
          <w:szCs w:val="20"/>
          <w:lang w:val="en-US" w:eastAsia="zh-CN"/>
        </w:rPr>
        <w:t xml:space="preserve"> </w:t>
      </w:r>
      <w:r>
        <w:rPr>
          <w:rFonts w:hint="default" w:ascii="Times New Roman" w:hAnsi="Times New Roman" w:cs="Times New Roman"/>
          <w:bCs/>
          <w:kern w:val="0"/>
          <w:sz w:val="20"/>
          <w:szCs w:val="20"/>
          <w:lang w:val="en-US" w:eastAsia="zh-CN"/>
        </w:rPr>
        <w:t xml:space="preserve">For example, the CP duration for FR2 120kHz SCS is about 0.6us thus the Rx performance of parent node will be impacted if 3us is the timing difference for Te1 or Te2.  </w:t>
      </w:r>
    </w:p>
    <w:p>
      <w:pPr>
        <w:pStyle w:val="29"/>
        <w:keepNext w:val="0"/>
        <w:keepLines w:val="0"/>
        <w:pageBreakBefore w:val="0"/>
        <w:widowControl w:val="0"/>
        <w:suppressAutoHyphens/>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cs="Times New Roman"/>
          <w:bCs/>
          <w:kern w:val="0"/>
          <w:sz w:val="20"/>
          <w:szCs w:val="20"/>
        </w:rPr>
      </w:pPr>
    </w:p>
    <w:p>
      <w:pPr>
        <w:pStyle w:val="29"/>
        <w:ind w:firstLine="0" w:firstLineChars="0"/>
        <w:rPr>
          <w:rFonts w:hint="default" w:ascii="Times New Roman" w:hAnsi="Times New Roman" w:cs="Times New Roman"/>
          <w:bCs/>
          <w:kern w:val="0"/>
          <w:sz w:val="20"/>
          <w:szCs w:val="20"/>
          <w:lang w:val="en-US"/>
        </w:rPr>
      </w:pPr>
      <w:r>
        <w:rPr>
          <w:rFonts w:hint="eastAsia" w:ascii="Times New Roman" w:hAnsi="Times New Roman" w:cs="Times New Roman"/>
          <w:b/>
          <w:sz w:val="20"/>
          <w:szCs w:val="20"/>
          <w:lang w:val="en-US" w:eastAsia="zh-CN"/>
        </w:rPr>
        <w:t>Observation</w:t>
      </w:r>
      <w:r>
        <w:rPr>
          <w:rFonts w:hint="default" w:ascii="Times New Roman" w:hAnsi="Times New Roman" w:cs="Times New Roman"/>
          <w:b/>
          <w:sz w:val="20"/>
          <w:szCs w:val="20"/>
          <w:lang w:eastAsia="zh-CN"/>
        </w:rPr>
        <w:t xml:space="preserve"> </w:t>
      </w:r>
      <w:r>
        <w:rPr>
          <w:rFonts w:hint="eastAsia" w:ascii="Times New Roman" w:hAnsi="Times New Roman" w:cs="Times New Roman"/>
          <w:b/>
          <w:sz w:val="20"/>
          <w:szCs w:val="20"/>
          <w:lang w:val="en-US" w:eastAsia="zh-CN"/>
        </w:rPr>
        <w:t>2</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Te is selected to guarantee the UL Rx of the parent node when child node operates in Case 6 timing.</w:t>
      </w:r>
    </w:p>
    <w:p>
      <w:pPr>
        <w:pStyle w:val="29"/>
        <w:ind w:firstLine="0" w:firstLineChars="0"/>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In order to guarantee UL Rx of a parent node when child node operates in Case 6 timing we can consider the following 2 option.</w:t>
      </w:r>
    </w:p>
    <w:p>
      <w:pPr>
        <w:pStyle w:val="29"/>
        <w:ind w:firstLine="0" w:firstLineChars="0"/>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Option 1: Define Te for one SCS which may be called reference SCS and Te can be scaled base on u.</w:t>
      </w:r>
    </w:p>
    <w:p>
      <w:pPr>
        <w:pStyle w:val="29"/>
        <w:ind w:firstLine="0" w:firstLineChars="0"/>
        <w:rPr>
          <w:rFonts w:hint="default" w:ascii="Times New Roman" w:hAnsi="Times New Roman" w:cs="Times New Roman"/>
          <w:bCs/>
          <w:kern w:val="0"/>
          <w:sz w:val="20"/>
          <w:szCs w:val="20"/>
          <w:lang w:val="en-US" w:eastAsia="zh-CN"/>
        </w:rPr>
      </w:pPr>
      <w:r>
        <w:rPr>
          <w:rFonts w:hint="default" w:ascii="Times New Roman" w:hAnsi="Times New Roman" w:cs="Times New Roman"/>
          <w:bCs/>
          <w:kern w:val="0"/>
          <w:sz w:val="20"/>
          <w:szCs w:val="20"/>
          <w:lang w:val="en-US" w:eastAsia="zh-CN"/>
        </w:rPr>
        <w:t>Option 2: Define a absolute Te which is smaller than 3us</w:t>
      </w:r>
      <w:r>
        <w:rPr>
          <w:rFonts w:hint="eastAsia" w:ascii="Times New Roman" w:hAnsi="Times New Roman" w:cs="Times New Roman"/>
          <w:bCs/>
          <w:kern w:val="0"/>
          <w:sz w:val="20"/>
          <w:szCs w:val="20"/>
          <w:lang w:val="en-US" w:eastAsia="zh-CN"/>
        </w:rPr>
        <w:t xml:space="preserve"> </w:t>
      </w:r>
      <w:r>
        <w:rPr>
          <w:rFonts w:hint="default" w:ascii="Times New Roman" w:hAnsi="Times New Roman" w:cs="Times New Roman"/>
          <w:bCs/>
          <w:kern w:val="0"/>
          <w:sz w:val="20"/>
          <w:szCs w:val="20"/>
          <w:lang w:val="en-US" w:eastAsia="zh-CN"/>
        </w:rPr>
        <w:t>without considering SCS.</w:t>
      </w:r>
    </w:p>
    <w:p>
      <w:pPr>
        <w:pStyle w:val="29"/>
        <w:ind w:firstLine="0" w:firstLineChars="0"/>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eastAsia" w:ascii="Times New Roman" w:hAnsi="Times New Roman" w:cs="Times New Roman"/>
          <w:b/>
          <w:sz w:val="20"/>
          <w:szCs w:val="20"/>
          <w:lang w:val="en-US" w:eastAsia="zh-CN"/>
        </w:rPr>
        <w:t>1</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The following option can be considered for Te determination</w:t>
      </w:r>
      <w:r>
        <w:rPr>
          <w:rFonts w:hint="default" w:ascii="Times New Roman" w:hAnsi="Times New Roman" w:cs="Times New Roman"/>
          <w:b/>
          <w:sz w:val="20"/>
          <w:szCs w:val="20"/>
          <w:lang w:eastAsia="zh-CN"/>
        </w:rPr>
        <w:t>.</w:t>
      </w:r>
    </w:p>
    <w:p>
      <w:pPr>
        <w:pStyle w:val="29"/>
        <w:ind w:firstLine="0" w:firstLineChars="0"/>
        <w:rPr>
          <w:rFonts w:hint="default" w:ascii="Times New Roman" w:hAnsi="Times New Roman" w:cs="Times New Roman"/>
          <w:b/>
          <w:bCs w:val="0"/>
          <w:kern w:val="0"/>
          <w:sz w:val="20"/>
          <w:szCs w:val="20"/>
          <w:lang w:val="en-US" w:eastAsia="zh-CN"/>
        </w:rPr>
      </w:pPr>
      <w:r>
        <w:rPr>
          <w:rFonts w:hint="default" w:ascii="Times New Roman" w:hAnsi="Times New Roman" w:cs="Times New Roman"/>
          <w:b/>
          <w:bCs w:val="0"/>
          <w:kern w:val="0"/>
          <w:sz w:val="20"/>
          <w:szCs w:val="20"/>
          <w:lang w:val="en-US" w:eastAsia="zh-CN"/>
        </w:rPr>
        <w:t>Option 1: Define Te for one SCS which may be called reference SCS and Te can be scaled base on u.</w:t>
      </w:r>
    </w:p>
    <w:p>
      <w:pPr>
        <w:pStyle w:val="29"/>
        <w:ind w:firstLine="0" w:firstLineChars="0"/>
        <w:rPr>
          <w:rFonts w:hint="default" w:ascii="Times New Roman" w:hAnsi="Times New Roman" w:cs="Times New Roman"/>
          <w:b/>
          <w:bCs w:val="0"/>
          <w:kern w:val="0"/>
          <w:sz w:val="20"/>
          <w:szCs w:val="20"/>
          <w:lang w:val="en-US" w:eastAsia="zh-CN"/>
        </w:rPr>
      </w:pPr>
      <w:r>
        <w:rPr>
          <w:rFonts w:hint="default" w:ascii="Times New Roman" w:hAnsi="Times New Roman" w:cs="Times New Roman"/>
          <w:b/>
          <w:bCs w:val="0"/>
          <w:kern w:val="0"/>
          <w:sz w:val="20"/>
          <w:szCs w:val="20"/>
          <w:lang w:val="en-US" w:eastAsia="zh-CN"/>
        </w:rPr>
        <w:t>Option 2: Define an absolute Te</w:t>
      </w:r>
      <w:r>
        <w:rPr>
          <w:rFonts w:hint="eastAsia" w:ascii="Times New Roman" w:hAnsi="Times New Roman" w:cs="Times New Roman"/>
          <w:b/>
          <w:bCs w:val="0"/>
          <w:kern w:val="0"/>
          <w:sz w:val="20"/>
          <w:szCs w:val="20"/>
          <w:lang w:val="en-US" w:eastAsia="zh-CN"/>
        </w:rPr>
        <w:t xml:space="preserve"> which is smaller than 3us</w:t>
      </w:r>
      <w:r>
        <w:rPr>
          <w:rFonts w:hint="default" w:ascii="Times New Roman" w:hAnsi="Times New Roman" w:cs="Times New Roman"/>
          <w:b/>
          <w:bCs w:val="0"/>
          <w:kern w:val="0"/>
          <w:sz w:val="20"/>
          <w:szCs w:val="20"/>
          <w:lang w:val="en-US" w:eastAsia="zh-CN"/>
        </w:rPr>
        <w:t xml:space="preserve"> without considering SCS.</w:t>
      </w:r>
    </w:p>
    <w:p>
      <w:pPr>
        <w:rPr>
          <w:rFonts w:hint="eastAsia" w:ascii="Times New Roman" w:hAnsi="Times New Roman"/>
          <w:b/>
          <w:bCs w:val="0"/>
          <w:kern w:val="0"/>
          <w:sz w:val="20"/>
          <w:szCs w:val="20"/>
          <w:lang w:val="en-US" w:eastAsia="zh-CN"/>
        </w:rPr>
      </w:pPr>
      <w:r>
        <w:rPr>
          <w:rFonts w:hint="eastAsia" w:ascii="Times New Roman" w:hAnsi="Times New Roman"/>
          <w:b/>
          <w:bCs w:val="0"/>
          <w:kern w:val="0"/>
          <w:sz w:val="20"/>
          <w:szCs w:val="20"/>
          <w:lang w:val="en-US"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Based on the analysis, the following observation and proposal are given:</w:t>
      </w:r>
    </w:p>
    <w:p>
      <w:pPr>
        <w:pStyle w:val="29"/>
        <w:keepNext w:val="0"/>
        <w:keepLines w:val="0"/>
        <w:pageBreakBefore w:val="0"/>
        <w:widowControl w:val="0"/>
        <w:suppressAutoHyphens/>
        <w:kinsoku/>
        <w:wordWrap/>
        <w:overflowPunct/>
        <w:topLinePunct w:val="0"/>
        <w:autoSpaceDE/>
        <w:autoSpaceDN/>
        <w:bidi w:val="0"/>
        <w:adjustRightInd w:val="0"/>
        <w:snapToGrid w:val="0"/>
        <w:spacing w:before="157" w:beforeLines="50" w:after="0" w:line="24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cs="Times New Roman"/>
          <w:b/>
          <w:sz w:val="20"/>
          <w:szCs w:val="20"/>
          <w:lang w:val="en-US" w:eastAsia="zh-CN"/>
        </w:rPr>
        <w:t>Observation</w:t>
      </w:r>
      <w:r>
        <w:rPr>
          <w:rFonts w:hint="default" w:ascii="Times New Roman" w:hAnsi="Times New Roman" w:cs="Times New Roman"/>
          <w:b/>
          <w:sz w:val="20"/>
          <w:szCs w:val="20"/>
          <w:lang w:eastAsia="zh-CN"/>
        </w:rPr>
        <w:t xml:space="preserve"> 1</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Parent node will not control UL Tx timing of its child node when the child node operates in Case 6 timing</w:t>
      </w:r>
      <w:r>
        <w:rPr>
          <w:rFonts w:hint="default" w:ascii="Times New Roman" w:hAnsi="Times New Roman" w:cs="Times New Roman"/>
          <w:b/>
          <w:sz w:val="20"/>
          <w:szCs w:val="20"/>
          <w:lang w:eastAsia="zh-CN"/>
        </w:rPr>
        <w:t>.</w:t>
      </w:r>
    </w:p>
    <w:p>
      <w:pPr>
        <w:pStyle w:val="29"/>
        <w:ind w:firstLine="0" w:firstLineChars="0"/>
        <w:rPr>
          <w:rFonts w:hint="default" w:ascii="Times New Roman" w:hAnsi="Times New Roman" w:cs="Times New Roman"/>
          <w:bCs/>
          <w:kern w:val="0"/>
          <w:sz w:val="20"/>
          <w:szCs w:val="20"/>
          <w:lang w:val="en-US"/>
        </w:rPr>
      </w:pPr>
      <w:r>
        <w:rPr>
          <w:rFonts w:hint="eastAsia" w:ascii="Times New Roman" w:hAnsi="Times New Roman" w:cs="Times New Roman"/>
          <w:b/>
          <w:sz w:val="20"/>
          <w:szCs w:val="20"/>
          <w:lang w:val="en-US" w:eastAsia="zh-CN"/>
        </w:rPr>
        <w:t>Observation</w:t>
      </w:r>
      <w:r>
        <w:rPr>
          <w:rFonts w:hint="default" w:ascii="Times New Roman" w:hAnsi="Times New Roman" w:cs="Times New Roman"/>
          <w:b/>
          <w:sz w:val="20"/>
          <w:szCs w:val="20"/>
          <w:lang w:eastAsia="zh-CN"/>
        </w:rPr>
        <w:t xml:space="preserve"> </w:t>
      </w:r>
      <w:r>
        <w:rPr>
          <w:rFonts w:hint="eastAsia" w:ascii="Times New Roman" w:hAnsi="Times New Roman" w:cs="Times New Roman"/>
          <w:b/>
          <w:sz w:val="20"/>
          <w:szCs w:val="20"/>
          <w:lang w:val="en-US" w:eastAsia="zh-CN"/>
        </w:rPr>
        <w:t>2</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Te is selected to guarantee the UL Rx of the parent node when child node operates in Case 6 timing.</w:t>
      </w:r>
    </w:p>
    <w:p>
      <w:pPr>
        <w:pStyle w:val="29"/>
        <w:ind w:firstLine="0" w:firstLineChars="0"/>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Proposal </w:t>
      </w:r>
      <w:r>
        <w:rPr>
          <w:rFonts w:hint="eastAsia" w:ascii="Times New Roman" w:hAnsi="Times New Roman" w:cs="Times New Roman"/>
          <w:b/>
          <w:sz w:val="20"/>
          <w:szCs w:val="20"/>
          <w:lang w:val="en-US" w:eastAsia="zh-CN"/>
        </w:rPr>
        <w:t>1</w:t>
      </w:r>
      <w:r>
        <w:rPr>
          <w:rFonts w:hint="default" w:ascii="Times New Roman" w:hAnsi="Times New Roman" w:cs="Times New Roman"/>
          <w:b/>
          <w:sz w:val="20"/>
          <w:szCs w:val="20"/>
        </w:rPr>
        <w:t>:</w:t>
      </w:r>
      <w:r>
        <w:rPr>
          <w:rFonts w:hint="default" w:ascii="Times New Roman" w:hAnsi="Times New Roman" w:cs="Times New Roman"/>
          <w:b/>
          <w:sz w:val="20"/>
          <w:szCs w:val="20"/>
          <w:lang w:eastAsia="zh-CN"/>
        </w:rPr>
        <w:t xml:space="preserve"> </w:t>
      </w:r>
      <w:r>
        <w:rPr>
          <w:rFonts w:hint="default" w:ascii="Times New Roman" w:hAnsi="Times New Roman" w:cs="Times New Roman"/>
          <w:b/>
          <w:sz w:val="20"/>
          <w:szCs w:val="20"/>
          <w:lang w:val="en-US" w:eastAsia="zh-CN"/>
        </w:rPr>
        <w:t>The following option can be considered for Te determination</w:t>
      </w:r>
      <w:r>
        <w:rPr>
          <w:rFonts w:hint="default" w:ascii="Times New Roman" w:hAnsi="Times New Roman" w:cs="Times New Roman"/>
          <w:b/>
          <w:sz w:val="20"/>
          <w:szCs w:val="20"/>
          <w:lang w:eastAsia="zh-CN"/>
        </w:rPr>
        <w:t>.</w:t>
      </w:r>
    </w:p>
    <w:p>
      <w:pPr>
        <w:pStyle w:val="29"/>
        <w:ind w:firstLine="0" w:firstLineChars="0"/>
        <w:rPr>
          <w:rFonts w:hint="default" w:ascii="Times New Roman" w:hAnsi="Times New Roman" w:cs="Times New Roman"/>
          <w:b/>
          <w:bCs w:val="0"/>
          <w:kern w:val="0"/>
          <w:sz w:val="20"/>
          <w:szCs w:val="20"/>
          <w:lang w:val="en-US" w:eastAsia="zh-CN"/>
        </w:rPr>
      </w:pPr>
      <w:r>
        <w:rPr>
          <w:rFonts w:hint="default" w:ascii="Times New Roman" w:hAnsi="Times New Roman" w:cs="Times New Roman"/>
          <w:b/>
          <w:bCs w:val="0"/>
          <w:kern w:val="0"/>
          <w:sz w:val="20"/>
          <w:szCs w:val="20"/>
          <w:lang w:val="en-US" w:eastAsia="zh-CN"/>
        </w:rPr>
        <w:t>Option 1: Define Te for one SCS which may be called reference SCS and Te can be scaled base on u.</w:t>
      </w:r>
    </w:p>
    <w:p>
      <w:pPr>
        <w:pStyle w:val="29"/>
        <w:ind w:firstLine="0" w:firstLineChars="0"/>
        <w:rPr>
          <w:rFonts w:hint="eastAsia" w:ascii="Times New Roman" w:hAnsi="Times New Roman"/>
          <w:bCs/>
          <w:kern w:val="0"/>
          <w:sz w:val="20"/>
          <w:szCs w:val="20"/>
          <w:lang w:val="en-US" w:eastAsia="zh-CN"/>
        </w:rPr>
      </w:pPr>
      <w:r>
        <w:rPr>
          <w:rFonts w:hint="default" w:ascii="Times New Roman" w:hAnsi="Times New Roman" w:cs="Times New Roman"/>
          <w:b/>
          <w:bCs w:val="0"/>
          <w:kern w:val="0"/>
          <w:sz w:val="20"/>
          <w:szCs w:val="20"/>
          <w:lang w:val="en-US" w:eastAsia="zh-CN"/>
        </w:rPr>
        <w:t>Option 2: Define an absolute Te</w:t>
      </w:r>
      <w:r>
        <w:rPr>
          <w:rFonts w:hint="eastAsia" w:ascii="Times New Roman" w:hAnsi="Times New Roman" w:cs="Times New Roman"/>
          <w:b/>
          <w:bCs w:val="0"/>
          <w:kern w:val="0"/>
          <w:sz w:val="20"/>
          <w:szCs w:val="20"/>
          <w:lang w:val="en-US" w:eastAsia="zh-CN"/>
        </w:rPr>
        <w:t xml:space="preserve"> which is smaller than 3us</w:t>
      </w:r>
      <w:r>
        <w:rPr>
          <w:rFonts w:hint="default" w:ascii="Times New Roman" w:hAnsi="Times New Roman" w:cs="Times New Roman"/>
          <w:b/>
          <w:bCs w:val="0"/>
          <w:kern w:val="0"/>
          <w:sz w:val="20"/>
          <w:szCs w:val="20"/>
          <w:lang w:val="en-US" w:eastAsia="zh-CN"/>
        </w:rPr>
        <w:t xml:space="preserve"> without considering SCS.</w:t>
      </w:r>
    </w:p>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60" w:lineRule="auto"/>
        <w:ind w:firstLine="0" w:firstLineChars="0"/>
        <w:textAlignment w:val="auto"/>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 </w:t>
      </w:r>
    </w:p>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60" w:lineRule="auto"/>
        <w:ind w:firstLine="0" w:firstLineChars="0"/>
        <w:textAlignment w:val="auto"/>
        <w:rPr>
          <w:rFonts w:hint="default" w:ascii="Times New Roman" w:hAnsi="Times New Roman"/>
          <w:bCs/>
          <w:kern w:val="0"/>
          <w:sz w:val="20"/>
          <w:szCs w:val="20"/>
          <w:lang w:val="en-US" w:eastAsia="zh-CN"/>
        </w:rPr>
      </w:pPr>
    </w:p>
    <w:p>
      <w:pPr>
        <w:pStyle w:val="29"/>
        <w:ind w:firstLine="0" w:firstLineChars="0"/>
        <w:rPr>
          <w:rFonts w:hint="default" w:ascii="Times New Roman" w:hAnsi="Times New Roman"/>
          <w:bCs/>
          <w:kern w:val="0"/>
          <w:sz w:val="20"/>
          <w:szCs w:val="20"/>
          <w:lang w:val="en-US" w:eastAsia="zh-CN"/>
        </w:rPr>
      </w:pPr>
    </w:p>
    <w:p>
      <w:pPr>
        <w:pStyle w:val="29"/>
        <w:ind w:firstLine="0" w:firstLineChars="0"/>
        <w:rPr>
          <w:rFonts w:hint="default" w:ascii="Times New Roman" w:hAnsi="Times New Roman"/>
          <w:bCs/>
          <w:kern w:val="0"/>
          <w:sz w:val="20"/>
          <w:szCs w:val="20"/>
          <w:lang w:val="en-US" w:eastAsia="zh-CN"/>
        </w:rPr>
      </w:pPr>
    </w:p>
    <w:p>
      <w:pPr>
        <w:rPr>
          <w:rFonts w:hint="default" w:ascii="Times New Roman" w:hAnsi="Times New Roman"/>
          <w:bCs/>
          <w:kern w:val="0"/>
          <w:sz w:val="20"/>
          <w:szCs w:val="20"/>
          <w:lang w:val="en-US" w:eastAsia="zh-CN"/>
        </w:rPr>
      </w:pPr>
      <w:r>
        <w:rPr>
          <w:rFonts w:hint="default" w:ascii="Times New Roman" w:hAnsi="Times New Roman"/>
          <w:bCs/>
          <w:kern w:val="0"/>
          <w:sz w:val="20"/>
          <w:szCs w:val="20"/>
          <w:lang w:val="en-US"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R4-2115645_eIAB WF_06_clean</w:t>
      </w:r>
    </w:p>
    <w:p>
      <w:pPr>
        <w:pStyle w:val="9"/>
        <w:rPr>
          <w:sz w:val="20"/>
          <w:szCs w:val="20"/>
        </w:rPr>
      </w:pPr>
      <w:r>
        <w:rPr>
          <w:rFonts w:hint="eastAsia"/>
          <w:sz w:val="20"/>
          <w:szCs w:val="20"/>
        </w:rPr>
        <w:t>Chair's Notes RAN1#106-e v24.doc</w:t>
      </w:r>
    </w:p>
    <w:p>
      <w:pPr>
        <w:rPr>
          <w:sz w:val="20"/>
          <w:szCs w:val="20"/>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31E89"/>
    <w:multiLevelType w:val="multilevel"/>
    <w:tmpl w:val="12B31E89"/>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951E84"/>
    <w:multiLevelType w:val="multilevel"/>
    <w:tmpl w:val="58951E8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sz w:val="20"/>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53531E"/>
    <w:rsid w:val="01624027"/>
    <w:rsid w:val="018B3BAA"/>
    <w:rsid w:val="01957959"/>
    <w:rsid w:val="01DC1C82"/>
    <w:rsid w:val="02065A2E"/>
    <w:rsid w:val="020928F5"/>
    <w:rsid w:val="02281CFD"/>
    <w:rsid w:val="02626E3D"/>
    <w:rsid w:val="02770E1A"/>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8C13553"/>
    <w:rsid w:val="09294F7D"/>
    <w:rsid w:val="09674661"/>
    <w:rsid w:val="097E672F"/>
    <w:rsid w:val="09825F02"/>
    <w:rsid w:val="09AB6C45"/>
    <w:rsid w:val="09E20449"/>
    <w:rsid w:val="0A2802DC"/>
    <w:rsid w:val="0A4B6F30"/>
    <w:rsid w:val="0A731B50"/>
    <w:rsid w:val="0B802D0D"/>
    <w:rsid w:val="0BC176FB"/>
    <w:rsid w:val="0BF41031"/>
    <w:rsid w:val="0C1D57F9"/>
    <w:rsid w:val="0C953742"/>
    <w:rsid w:val="0CA242EA"/>
    <w:rsid w:val="0D613BA3"/>
    <w:rsid w:val="0D744565"/>
    <w:rsid w:val="0D7F564D"/>
    <w:rsid w:val="0D835665"/>
    <w:rsid w:val="0DE052FE"/>
    <w:rsid w:val="0E3330D0"/>
    <w:rsid w:val="0E5576D4"/>
    <w:rsid w:val="0ECE66B5"/>
    <w:rsid w:val="0F11785B"/>
    <w:rsid w:val="0F21557B"/>
    <w:rsid w:val="0F372967"/>
    <w:rsid w:val="0F5107D2"/>
    <w:rsid w:val="0FDA7DDA"/>
    <w:rsid w:val="0FFA1150"/>
    <w:rsid w:val="112D72C6"/>
    <w:rsid w:val="113F3856"/>
    <w:rsid w:val="11A50508"/>
    <w:rsid w:val="120639A8"/>
    <w:rsid w:val="12447798"/>
    <w:rsid w:val="125D4125"/>
    <w:rsid w:val="12AE4121"/>
    <w:rsid w:val="13583391"/>
    <w:rsid w:val="137F4008"/>
    <w:rsid w:val="13F672DD"/>
    <w:rsid w:val="140A2CA4"/>
    <w:rsid w:val="140C5848"/>
    <w:rsid w:val="141B497D"/>
    <w:rsid w:val="144E5CD4"/>
    <w:rsid w:val="14BF7340"/>
    <w:rsid w:val="15220493"/>
    <w:rsid w:val="158F210D"/>
    <w:rsid w:val="15E12A88"/>
    <w:rsid w:val="15E95672"/>
    <w:rsid w:val="16054980"/>
    <w:rsid w:val="16271D63"/>
    <w:rsid w:val="167A7800"/>
    <w:rsid w:val="16BD2FB9"/>
    <w:rsid w:val="16C05D40"/>
    <w:rsid w:val="16E7731D"/>
    <w:rsid w:val="179855D1"/>
    <w:rsid w:val="17A613DC"/>
    <w:rsid w:val="188A0D46"/>
    <w:rsid w:val="18EF4764"/>
    <w:rsid w:val="19607D81"/>
    <w:rsid w:val="199503FD"/>
    <w:rsid w:val="19AF5CF6"/>
    <w:rsid w:val="19F256A0"/>
    <w:rsid w:val="1A3F5603"/>
    <w:rsid w:val="1AA54D0B"/>
    <w:rsid w:val="1B3C4343"/>
    <w:rsid w:val="1B870B5B"/>
    <w:rsid w:val="1BBC09F6"/>
    <w:rsid w:val="1C3571F6"/>
    <w:rsid w:val="1C3672FA"/>
    <w:rsid w:val="1C3A751E"/>
    <w:rsid w:val="1C5D00DA"/>
    <w:rsid w:val="1C7D0C1A"/>
    <w:rsid w:val="1C7E2DD6"/>
    <w:rsid w:val="1CAD4CCB"/>
    <w:rsid w:val="1CCC40C9"/>
    <w:rsid w:val="1D186F9D"/>
    <w:rsid w:val="1D504421"/>
    <w:rsid w:val="1DA251E1"/>
    <w:rsid w:val="1DA93704"/>
    <w:rsid w:val="1E343C5D"/>
    <w:rsid w:val="1ECF1323"/>
    <w:rsid w:val="1F295D72"/>
    <w:rsid w:val="1F4325C8"/>
    <w:rsid w:val="1F595BBB"/>
    <w:rsid w:val="1F7C7957"/>
    <w:rsid w:val="1FD21E35"/>
    <w:rsid w:val="1FD96681"/>
    <w:rsid w:val="1FE10390"/>
    <w:rsid w:val="1FEE7A9C"/>
    <w:rsid w:val="200E58BD"/>
    <w:rsid w:val="205164A7"/>
    <w:rsid w:val="2090238B"/>
    <w:rsid w:val="20A434B3"/>
    <w:rsid w:val="20BA6502"/>
    <w:rsid w:val="20EE04E5"/>
    <w:rsid w:val="216D7544"/>
    <w:rsid w:val="21B80AA5"/>
    <w:rsid w:val="221703FC"/>
    <w:rsid w:val="225216B5"/>
    <w:rsid w:val="22B37446"/>
    <w:rsid w:val="22CB0F22"/>
    <w:rsid w:val="235408E6"/>
    <w:rsid w:val="23FD5BE3"/>
    <w:rsid w:val="24386853"/>
    <w:rsid w:val="24715F69"/>
    <w:rsid w:val="24B140D4"/>
    <w:rsid w:val="24C569C9"/>
    <w:rsid w:val="24F907DC"/>
    <w:rsid w:val="250D35C2"/>
    <w:rsid w:val="252A03F9"/>
    <w:rsid w:val="25EF43C8"/>
    <w:rsid w:val="262E08BF"/>
    <w:rsid w:val="263951B2"/>
    <w:rsid w:val="263E55AD"/>
    <w:rsid w:val="264B37D3"/>
    <w:rsid w:val="27930B1B"/>
    <w:rsid w:val="28140998"/>
    <w:rsid w:val="283146AB"/>
    <w:rsid w:val="288C6204"/>
    <w:rsid w:val="28A96A0F"/>
    <w:rsid w:val="28DD5033"/>
    <w:rsid w:val="28EE7A07"/>
    <w:rsid w:val="291F3AAD"/>
    <w:rsid w:val="29CD4516"/>
    <w:rsid w:val="2A1E2DE0"/>
    <w:rsid w:val="2A7049D1"/>
    <w:rsid w:val="2AB04251"/>
    <w:rsid w:val="2ABE7215"/>
    <w:rsid w:val="2AE558B3"/>
    <w:rsid w:val="2AE8229B"/>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812190"/>
    <w:rsid w:val="2DA94150"/>
    <w:rsid w:val="2E1176AC"/>
    <w:rsid w:val="2ECB7AE0"/>
    <w:rsid w:val="2F0E5D72"/>
    <w:rsid w:val="2F235269"/>
    <w:rsid w:val="2F322289"/>
    <w:rsid w:val="2F4B1C2D"/>
    <w:rsid w:val="2FDC4E75"/>
    <w:rsid w:val="30571C73"/>
    <w:rsid w:val="30943D7F"/>
    <w:rsid w:val="309460D4"/>
    <w:rsid w:val="309C7501"/>
    <w:rsid w:val="30A819D5"/>
    <w:rsid w:val="310D7287"/>
    <w:rsid w:val="313A0372"/>
    <w:rsid w:val="316C26E3"/>
    <w:rsid w:val="31B6217A"/>
    <w:rsid w:val="32305666"/>
    <w:rsid w:val="328D4D87"/>
    <w:rsid w:val="32987EA1"/>
    <w:rsid w:val="32EC2013"/>
    <w:rsid w:val="33021368"/>
    <w:rsid w:val="33133DBA"/>
    <w:rsid w:val="33491F36"/>
    <w:rsid w:val="33883009"/>
    <w:rsid w:val="346C2BDC"/>
    <w:rsid w:val="34E63221"/>
    <w:rsid w:val="34EA3595"/>
    <w:rsid w:val="34F31159"/>
    <w:rsid w:val="34F61BA3"/>
    <w:rsid w:val="35684E72"/>
    <w:rsid w:val="35D34EB8"/>
    <w:rsid w:val="361A0DD1"/>
    <w:rsid w:val="363A75C1"/>
    <w:rsid w:val="368E7AA5"/>
    <w:rsid w:val="36950F43"/>
    <w:rsid w:val="36F13745"/>
    <w:rsid w:val="37235D83"/>
    <w:rsid w:val="37A42BA6"/>
    <w:rsid w:val="386C1CFB"/>
    <w:rsid w:val="388C38C8"/>
    <w:rsid w:val="388E6306"/>
    <w:rsid w:val="3891144C"/>
    <w:rsid w:val="38E40513"/>
    <w:rsid w:val="393853EE"/>
    <w:rsid w:val="39474FFC"/>
    <w:rsid w:val="39A12E64"/>
    <w:rsid w:val="39E030FB"/>
    <w:rsid w:val="39E551C2"/>
    <w:rsid w:val="3A280D85"/>
    <w:rsid w:val="3A985F9F"/>
    <w:rsid w:val="3ABE7AAF"/>
    <w:rsid w:val="3ACA79CB"/>
    <w:rsid w:val="3ACD696C"/>
    <w:rsid w:val="3B1D04C9"/>
    <w:rsid w:val="3B564493"/>
    <w:rsid w:val="3B68666D"/>
    <w:rsid w:val="3B924465"/>
    <w:rsid w:val="3BA94452"/>
    <w:rsid w:val="3C031B6A"/>
    <w:rsid w:val="3C8B2EA4"/>
    <w:rsid w:val="3CA02F85"/>
    <w:rsid w:val="3CAE115E"/>
    <w:rsid w:val="3CB6404C"/>
    <w:rsid w:val="3CC85F33"/>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C765F3"/>
    <w:rsid w:val="40E6301D"/>
    <w:rsid w:val="41071BAC"/>
    <w:rsid w:val="41256FB7"/>
    <w:rsid w:val="4154071D"/>
    <w:rsid w:val="42AE14DC"/>
    <w:rsid w:val="42C843A0"/>
    <w:rsid w:val="42F20CDD"/>
    <w:rsid w:val="434941B7"/>
    <w:rsid w:val="43776349"/>
    <w:rsid w:val="43A46A86"/>
    <w:rsid w:val="43EE5166"/>
    <w:rsid w:val="44AC3C12"/>
    <w:rsid w:val="44B2766E"/>
    <w:rsid w:val="44C82F04"/>
    <w:rsid w:val="453D01E5"/>
    <w:rsid w:val="45834801"/>
    <w:rsid w:val="458F4D24"/>
    <w:rsid w:val="459C5BD8"/>
    <w:rsid w:val="45B01F58"/>
    <w:rsid w:val="45ED56E7"/>
    <w:rsid w:val="45F60A50"/>
    <w:rsid w:val="465B1E86"/>
    <w:rsid w:val="46C6208F"/>
    <w:rsid w:val="482C6CD1"/>
    <w:rsid w:val="4853345A"/>
    <w:rsid w:val="48845C84"/>
    <w:rsid w:val="489C44D3"/>
    <w:rsid w:val="48F82FC3"/>
    <w:rsid w:val="490D3059"/>
    <w:rsid w:val="49500FEB"/>
    <w:rsid w:val="4982678C"/>
    <w:rsid w:val="49F32E1B"/>
    <w:rsid w:val="49FF1C1E"/>
    <w:rsid w:val="4A0B7057"/>
    <w:rsid w:val="4A280667"/>
    <w:rsid w:val="4A495F41"/>
    <w:rsid w:val="4A511B6E"/>
    <w:rsid w:val="4A7C4548"/>
    <w:rsid w:val="4B5B5B93"/>
    <w:rsid w:val="4B901389"/>
    <w:rsid w:val="4BFE2AE1"/>
    <w:rsid w:val="4C2C30BE"/>
    <w:rsid w:val="4C3A2A9D"/>
    <w:rsid w:val="4C5D2EB7"/>
    <w:rsid w:val="4C8D7B0E"/>
    <w:rsid w:val="4CBF03D6"/>
    <w:rsid w:val="4D014AEF"/>
    <w:rsid w:val="4D105B68"/>
    <w:rsid w:val="4D1E3273"/>
    <w:rsid w:val="4D513299"/>
    <w:rsid w:val="4DA22392"/>
    <w:rsid w:val="4DBE5704"/>
    <w:rsid w:val="4DF96CBC"/>
    <w:rsid w:val="4E4C233E"/>
    <w:rsid w:val="4E9A7FF9"/>
    <w:rsid w:val="4EDA7726"/>
    <w:rsid w:val="4EDF702E"/>
    <w:rsid w:val="4EF148C1"/>
    <w:rsid w:val="4F047884"/>
    <w:rsid w:val="4F186AC1"/>
    <w:rsid w:val="4F813AF7"/>
    <w:rsid w:val="4FBD6EC5"/>
    <w:rsid w:val="4FBF1AB2"/>
    <w:rsid w:val="50150A2D"/>
    <w:rsid w:val="504E5AC6"/>
    <w:rsid w:val="505076EF"/>
    <w:rsid w:val="505F3BD5"/>
    <w:rsid w:val="507820B7"/>
    <w:rsid w:val="508A0B34"/>
    <w:rsid w:val="509A0302"/>
    <w:rsid w:val="50E042AF"/>
    <w:rsid w:val="513C5648"/>
    <w:rsid w:val="51736098"/>
    <w:rsid w:val="51B14BED"/>
    <w:rsid w:val="51EE252C"/>
    <w:rsid w:val="51FA3D86"/>
    <w:rsid w:val="52022698"/>
    <w:rsid w:val="526965AA"/>
    <w:rsid w:val="531E2281"/>
    <w:rsid w:val="54175BE1"/>
    <w:rsid w:val="5445166E"/>
    <w:rsid w:val="54632332"/>
    <w:rsid w:val="54944CE7"/>
    <w:rsid w:val="55436523"/>
    <w:rsid w:val="55CA20E9"/>
    <w:rsid w:val="55ED23C7"/>
    <w:rsid w:val="560C0036"/>
    <w:rsid w:val="563C5184"/>
    <w:rsid w:val="565631F5"/>
    <w:rsid w:val="56C44CD3"/>
    <w:rsid w:val="581B09AF"/>
    <w:rsid w:val="582E227B"/>
    <w:rsid w:val="583C79A9"/>
    <w:rsid w:val="58983966"/>
    <w:rsid w:val="589E3B99"/>
    <w:rsid w:val="589F3533"/>
    <w:rsid w:val="58FF6291"/>
    <w:rsid w:val="593261D2"/>
    <w:rsid w:val="59423730"/>
    <w:rsid w:val="595A6E9E"/>
    <w:rsid w:val="5A8F1C82"/>
    <w:rsid w:val="5AA04D8D"/>
    <w:rsid w:val="5AFF5DE6"/>
    <w:rsid w:val="5B4026E8"/>
    <w:rsid w:val="5B482E24"/>
    <w:rsid w:val="5C9A4DB7"/>
    <w:rsid w:val="5D1A39EE"/>
    <w:rsid w:val="5D5C7688"/>
    <w:rsid w:val="5D844DB8"/>
    <w:rsid w:val="5DEF6B62"/>
    <w:rsid w:val="5E224225"/>
    <w:rsid w:val="5E2732CD"/>
    <w:rsid w:val="5E336F39"/>
    <w:rsid w:val="5E7E4092"/>
    <w:rsid w:val="5F5F081B"/>
    <w:rsid w:val="5FF20BF7"/>
    <w:rsid w:val="60205F90"/>
    <w:rsid w:val="608E2F6C"/>
    <w:rsid w:val="60EC3C37"/>
    <w:rsid w:val="617A5318"/>
    <w:rsid w:val="61A058F7"/>
    <w:rsid w:val="62082A4E"/>
    <w:rsid w:val="623C28E2"/>
    <w:rsid w:val="62CA193B"/>
    <w:rsid w:val="62D53BF4"/>
    <w:rsid w:val="631E0963"/>
    <w:rsid w:val="63483DC6"/>
    <w:rsid w:val="63610183"/>
    <w:rsid w:val="637947A5"/>
    <w:rsid w:val="63D0005D"/>
    <w:rsid w:val="64B7605C"/>
    <w:rsid w:val="652564C3"/>
    <w:rsid w:val="652B096E"/>
    <w:rsid w:val="65530E49"/>
    <w:rsid w:val="658B678B"/>
    <w:rsid w:val="65E73B66"/>
    <w:rsid w:val="66131984"/>
    <w:rsid w:val="66187135"/>
    <w:rsid w:val="66E16576"/>
    <w:rsid w:val="66E33C2D"/>
    <w:rsid w:val="67427945"/>
    <w:rsid w:val="678164D2"/>
    <w:rsid w:val="67D079BF"/>
    <w:rsid w:val="67E04310"/>
    <w:rsid w:val="68121D83"/>
    <w:rsid w:val="68233C28"/>
    <w:rsid w:val="6906197A"/>
    <w:rsid w:val="690C637F"/>
    <w:rsid w:val="692A17F3"/>
    <w:rsid w:val="69C27972"/>
    <w:rsid w:val="6A2E4954"/>
    <w:rsid w:val="6A6E396D"/>
    <w:rsid w:val="6AC9421D"/>
    <w:rsid w:val="6AD94F47"/>
    <w:rsid w:val="6C4C2667"/>
    <w:rsid w:val="6CD40BE1"/>
    <w:rsid w:val="6CDA49A3"/>
    <w:rsid w:val="6CF36133"/>
    <w:rsid w:val="6D27071C"/>
    <w:rsid w:val="6D2C0194"/>
    <w:rsid w:val="6DD1076A"/>
    <w:rsid w:val="6DDE3DAF"/>
    <w:rsid w:val="6E1735DC"/>
    <w:rsid w:val="6E2211D6"/>
    <w:rsid w:val="6EBD64D7"/>
    <w:rsid w:val="6F7A0A72"/>
    <w:rsid w:val="6FBA4BA1"/>
    <w:rsid w:val="70E13200"/>
    <w:rsid w:val="714420CD"/>
    <w:rsid w:val="715F4C2D"/>
    <w:rsid w:val="72024D75"/>
    <w:rsid w:val="724530CF"/>
    <w:rsid w:val="72CB7F46"/>
    <w:rsid w:val="73121CB7"/>
    <w:rsid w:val="73134E8E"/>
    <w:rsid w:val="745C121D"/>
    <w:rsid w:val="755C4C37"/>
    <w:rsid w:val="761A2E8D"/>
    <w:rsid w:val="768D7CD7"/>
    <w:rsid w:val="76A17FB6"/>
    <w:rsid w:val="774D1291"/>
    <w:rsid w:val="776C25E5"/>
    <w:rsid w:val="776C3E9D"/>
    <w:rsid w:val="77B7237F"/>
    <w:rsid w:val="77FD2C5E"/>
    <w:rsid w:val="78271104"/>
    <w:rsid w:val="784B7472"/>
    <w:rsid w:val="78861A8D"/>
    <w:rsid w:val="78ED42D2"/>
    <w:rsid w:val="78F82ED4"/>
    <w:rsid w:val="7925703F"/>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6B6B6B"/>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996</Words>
  <Characters>5682</Characters>
  <Lines>47</Lines>
  <Paragraphs>13</Paragraphs>
  <TotalTime>0</TotalTime>
  <ScaleCrop>false</ScaleCrop>
  <LinksUpToDate>false</LinksUpToDate>
  <CharactersWithSpaces>6665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2021-10-22T14:03:14Z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